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B285" w14:textId="0F0B94A6" w:rsidR="00561F5A" w:rsidRPr="00561F5A" w:rsidRDefault="00561F5A" w:rsidP="00561F5A">
      <w:pPr>
        <w:spacing w:after="2" w:line="267" w:lineRule="auto"/>
        <w:ind w:left="413" w:firstLine="307"/>
        <w:jc w:val="center"/>
        <w:rPr>
          <w:rFonts w:ascii="ADLaM Display" w:hAnsi="ADLaM Display" w:cs="ADLaM Display"/>
          <w:color w:val="77206D" w:themeColor="accent5" w:themeShade="BF"/>
          <w:sz w:val="32"/>
          <w:szCs w:val="32"/>
        </w:rPr>
      </w:pPr>
      <w:r w:rsidRPr="00561F5A">
        <w:rPr>
          <w:rFonts w:ascii="ADLaM Display" w:hAnsi="ADLaM Display" w:cs="ADLaM Display"/>
          <w:color w:val="77206D" w:themeColor="accent5" w:themeShade="BF"/>
          <w:sz w:val="32"/>
          <w:szCs w:val="32"/>
        </w:rPr>
        <w:t>MS. PATTERSON’S CLASSROOM MANAGEMENT</w:t>
      </w:r>
    </w:p>
    <w:p w14:paraId="6EB7662D" w14:textId="77777777" w:rsidR="00561F5A" w:rsidRPr="00561F5A" w:rsidRDefault="00561F5A">
      <w:pPr>
        <w:spacing w:after="2" w:line="267" w:lineRule="auto"/>
        <w:ind w:left="413" w:firstLine="307"/>
        <w:rPr>
          <w:szCs w:val="22"/>
        </w:rPr>
      </w:pPr>
    </w:p>
    <w:p w14:paraId="375D46B4" w14:textId="459F3B00" w:rsidR="007A392B" w:rsidRPr="00561F5A" w:rsidRDefault="00000000" w:rsidP="00561F5A">
      <w:pPr>
        <w:spacing w:after="2" w:line="267" w:lineRule="auto"/>
        <w:ind w:left="413" w:firstLine="307"/>
        <w:rPr>
          <w:szCs w:val="22"/>
        </w:rPr>
      </w:pPr>
      <w:r w:rsidRPr="00561F5A">
        <w:rPr>
          <w:szCs w:val="22"/>
        </w:rPr>
        <w:t xml:space="preserve">We will </w:t>
      </w:r>
      <w:r w:rsidR="00561F5A" w:rsidRPr="00561F5A">
        <w:rPr>
          <w:szCs w:val="22"/>
        </w:rPr>
        <w:t>use</w:t>
      </w:r>
      <w:r w:rsidRPr="00561F5A">
        <w:rPr>
          <w:szCs w:val="22"/>
        </w:rPr>
        <w:t xml:space="preserve"> a colored “clip chart” to monitor our behavior and classroom choices.  Your child will have a clip that they will physically move up or down the chart, depending on their choices.  Please keep in mind that your child may not move every single day!  </w:t>
      </w:r>
      <w:proofErr w:type="gramStart"/>
      <w:r w:rsidRPr="00561F5A">
        <w:rPr>
          <w:szCs w:val="22"/>
        </w:rPr>
        <w:t>In order to</w:t>
      </w:r>
      <w:proofErr w:type="gramEnd"/>
      <w:r w:rsidRPr="00561F5A">
        <w:rPr>
          <w:szCs w:val="22"/>
        </w:rPr>
        <w:t xml:space="preserve"> move up, students must go above and beyond in their behavior choices.  The chart below explains how the clip chart works. </w:t>
      </w:r>
    </w:p>
    <w:p w14:paraId="3794A58D" w14:textId="77777777" w:rsidR="00561F5A" w:rsidRDefault="00561F5A" w:rsidP="00561F5A">
      <w:pPr>
        <w:spacing w:after="2" w:line="267" w:lineRule="auto"/>
        <w:ind w:left="413" w:firstLine="307"/>
      </w:pPr>
    </w:p>
    <w:p w14:paraId="106E3266" w14:textId="77777777" w:rsidR="007A392B" w:rsidRPr="00561F5A" w:rsidRDefault="00000000">
      <w:pPr>
        <w:spacing w:after="0"/>
        <w:ind w:left="15"/>
        <w:jc w:val="center"/>
        <w:rPr>
          <w:b/>
          <w:bCs/>
          <w:sz w:val="28"/>
          <w:szCs w:val="28"/>
        </w:rPr>
      </w:pPr>
      <w:r w:rsidRPr="00561F5A">
        <w:rPr>
          <w:b/>
          <w:bCs/>
          <w:sz w:val="28"/>
          <w:szCs w:val="28"/>
        </w:rPr>
        <w:t xml:space="preserve">Clip Chart </w:t>
      </w:r>
    </w:p>
    <w:tbl>
      <w:tblPr>
        <w:tblStyle w:val="TableGrid"/>
        <w:tblW w:w="10634" w:type="dxa"/>
        <w:tblInd w:w="-105" w:type="dxa"/>
        <w:tblCellMar>
          <w:top w:w="26" w:type="dxa"/>
          <w:left w:w="116" w:type="dxa"/>
          <w:bottom w:w="0" w:type="dxa"/>
          <w:right w:w="100" w:type="dxa"/>
        </w:tblCellMar>
        <w:tblLook w:val="04A0" w:firstRow="1" w:lastRow="0" w:firstColumn="1" w:lastColumn="0" w:noHBand="0" w:noVBand="1"/>
      </w:tblPr>
      <w:tblGrid>
        <w:gridCol w:w="2528"/>
        <w:gridCol w:w="8106"/>
      </w:tblGrid>
      <w:tr w:rsidR="007A392B" w14:paraId="131299AE" w14:textId="77777777">
        <w:trPr>
          <w:trHeight w:val="1147"/>
        </w:trPr>
        <w:tc>
          <w:tcPr>
            <w:tcW w:w="2528" w:type="dxa"/>
            <w:tcBorders>
              <w:top w:val="single" w:sz="17" w:space="0" w:color="000000"/>
              <w:left w:val="single" w:sz="17" w:space="0" w:color="000000"/>
              <w:bottom w:val="single" w:sz="17" w:space="0" w:color="000000"/>
              <w:right w:val="single" w:sz="17" w:space="0" w:color="000000"/>
            </w:tcBorders>
            <w:shd w:val="clear" w:color="auto" w:fill="FF3399"/>
            <w:vAlign w:val="center"/>
          </w:tcPr>
          <w:p w14:paraId="6E901FB6" w14:textId="77777777" w:rsidR="007A392B" w:rsidRPr="00561F5A" w:rsidRDefault="00000000">
            <w:pPr>
              <w:spacing w:after="0"/>
              <w:ind w:right="16"/>
              <w:jc w:val="center"/>
              <w:rPr>
                <w:sz w:val="28"/>
                <w:szCs w:val="28"/>
              </w:rPr>
            </w:pPr>
            <w:r w:rsidRPr="00561F5A">
              <w:rPr>
                <w:sz w:val="28"/>
                <w:szCs w:val="28"/>
              </w:rPr>
              <w:t xml:space="preserve">Pink </w:t>
            </w:r>
          </w:p>
          <w:p w14:paraId="2A1D6CD9" w14:textId="63E0BDD2" w:rsidR="007A392B" w:rsidRPr="00561F5A" w:rsidRDefault="00561F5A">
            <w:pPr>
              <w:spacing w:after="0"/>
              <w:ind w:right="9"/>
              <w:jc w:val="center"/>
              <w:rPr>
                <w:sz w:val="24"/>
              </w:rPr>
            </w:pPr>
            <w:r w:rsidRPr="00561F5A">
              <w:rPr>
                <w:sz w:val="24"/>
              </w:rPr>
              <w:t>Role Model</w:t>
            </w:r>
          </w:p>
        </w:tc>
        <w:tc>
          <w:tcPr>
            <w:tcW w:w="8105" w:type="dxa"/>
            <w:tcBorders>
              <w:top w:val="single" w:sz="17" w:space="0" w:color="000000"/>
              <w:left w:val="single" w:sz="17" w:space="0" w:color="000000"/>
              <w:bottom w:val="single" w:sz="17" w:space="0" w:color="000000"/>
              <w:right w:val="single" w:sz="17" w:space="0" w:color="000000"/>
            </w:tcBorders>
            <w:vAlign w:val="center"/>
          </w:tcPr>
          <w:p w14:paraId="45E591AE" w14:textId="12C93489" w:rsidR="007A392B" w:rsidRPr="00561F5A" w:rsidRDefault="00000000">
            <w:pPr>
              <w:spacing w:after="0"/>
              <w:rPr>
                <w:szCs w:val="22"/>
              </w:rPr>
            </w:pPr>
            <w:r w:rsidRPr="00561F5A">
              <w:rPr>
                <w:szCs w:val="22"/>
              </w:rPr>
              <w:t xml:space="preserve">Students who reach the pink level will be rewarded for their positive choices by adding a </w:t>
            </w:r>
            <w:r w:rsidR="00561F5A" w:rsidRPr="00561F5A">
              <w:rPr>
                <w:szCs w:val="22"/>
              </w:rPr>
              <w:t>star to their reward cup</w:t>
            </w:r>
            <w:r w:rsidRPr="00561F5A">
              <w:rPr>
                <w:szCs w:val="22"/>
              </w:rPr>
              <w:t xml:space="preserve">.   </w:t>
            </w:r>
          </w:p>
        </w:tc>
      </w:tr>
      <w:tr w:rsidR="007A392B" w14:paraId="0D7B1978" w14:textId="77777777">
        <w:trPr>
          <w:trHeight w:val="1214"/>
        </w:trPr>
        <w:tc>
          <w:tcPr>
            <w:tcW w:w="2528" w:type="dxa"/>
            <w:tcBorders>
              <w:top w:val="single" w:sz="17" w:space="0" w:color="000000"/>
              <w:left w:val="single" w:sz="17" w:space="0" w:color="000000"/>
              <w:bottom w:val="single" w:sz="17" w:space="0" w:color="000000"/>
              <w:right w:val="single" w:sz="17" w:space="0" w:color="000000"/>
            </w:tcBorders>
            <w:shd w:val="clear" w:color="auto" w:fill="7030A0"/>
            <w:vAlign w:val="center"/>
          </w:tcPr>
          <w:p w14:paraId="4B9E570A" w14:textId="77777777" w:rsidR="007A392B" w:rsidRPr="00561F5A" w:rsidRDefault="00000000">
            <w:pPr>
              <w:spacing w:after="0"/>
              <w:ind w:right="11"/>
              <w:jc w:val="center"/>
              <w:rPr>
                <w:sz w:val="28"/>
                <w:szCs w:val="28"/>
              </w:rPr>
            </w:pPr>
            <w:r w:rsidRPr="00561F5A">
              <w:rPr>
                <w:sz w:val="28"/>
                <w:szCs w:val="28"/>
              </w:rPr>
              <w:t xml:space="preserve">Purple </w:t>
            </w:r>
          </w:p>
          <w:p w14:paraId="147E08A1" w14:textId="77777777" w:rsidR="007A392B" w:rsidRPr="00561F5A" w:rsidRDefault="00000000">
            <w:pPr>
              <w:spacing w:after="0"/>
              <w:ind w:right="9"/>
              <w:jc w:val="center"/>
              <w:rPr>
                <w:sz w:val="24"/>
              </w:rPr>
            </w:pPr>
            <w:r w:rsidRPr="00561F5A">
              <w:rPr>
                <w:sz w:val="24"/>
              </w:rPr>
              <w:t xml:space="preserve">Great Job </w:t>
            </w:r>
          </w:p>
        </w:tc>
        <w:tc>
          <w:tcPr>
            <w:tcW w:w="8105" w:type="dxa"/>
            <w:tcBorders>
              <w:top w:val="single" w:sz="17" w:space="0" w:color="000000"/>
              <w:left w:val="single" w:sz="17" w:space="0" w:color="000000"/>
              <w:bottom w:val="single" w:sz="17" w:space="0" w:color="000000"/>
              <w:right w:val="single" w:sz="17" w:space="0" w:color="000000"/>
            </w:tcBorders>
          </w:tcPr>
          <w:p w14:paraId="421DD4D7" w14:textId="77777777" w:rsidR="007A392B" w:rsidRPr="00561F5A" w:rsidRDefault="00000000">
            <w:pPr>
              <w:spacing w:after="0"/>
              <w:ind w:right="256"/>
              <w:jc w:val="both"/>
              <w:rPr>
                <w:szCs w:val="22"/>
              </w:rPr>
            </w:pPr>
            <w:r w:rsidRPr="00561F5A">
              <w:rPr>
                <w:szCs w:val="22"/>
              </w:rPr>
              <w:t xml:space="preserve">Students who continue to make positive choices move up to the purple level.  They are one step closer to being a super student with their classroom behavior!   </w:t>
            </w:r>
          </w:p>
        </w:tc>
      </w:tr>
      <w:tr w:rsidR="007A392B" w14:paraId="466D219C" w14:textId="77777777">
        <w:trPr>
          <w:trHeight w:val="1217"/>
        </w:trPr>
        <w:tc>
          <w:tcPr>
            <w:tcW w:w="2528" w:type="dxa"/>
            <w:tcBorders>
              <w:top w:val="single" w:sz="17" w:space="0" w:color="000000"/>
              <w:left w:val="single" w:sz="17" w:space="0" w:color="000000"/>
              <w:bottom w:val="single" w:sz="17" w:space="0" w:color="000000"/>
              <w:right w:val="single" w:sz="17" w:space="0" w:color="000000"/>
            </w:tcBorders>
            <w:shd w:val="clear" w:color="auto" w:fill="00B0F0"/>
            <w:vAlign w:val="center"/>
          </w:tcPr>
          <w:p w14:paraId="468CD082" w14:textId="77777777" w:rsidR="007A392B" w:rsidRPr="00561F5A" w:rsidRDefault="00000000">
            <w:pPr>
              <w:spacing w:after="0"/>
              <w:ind w:right="15"/>
              <w:jc w:val="center"/>
              <w:rPr>
                <w:sz w:val="28"/>
                <w:szCs w:val="28"/>
              </w:rPr>
            </w:pPr>
            <w:r w:rsidRPr="00561F5A">
              <w:rPr>
                <w:sz w:val="28"/>
                <w:szCs w:val="28"/>
              </w:rPr>
              <w:t xml:space="preserve">Blue </w:t>
            </w:r>
          </w:p>
          <w:p w14:paraId="2327E2BF" w14:textId="77777777" w:rsidR="007A392B" w:rsidRPr="00561F5A" w:rsidRDefault="00000000">
            <w:pPr>
              <w:spacing w:after="0"/>
              <w:ind w:right="13"/>
              <w:jc w:val="center"/>
              <w:rPr>
                <w:sz w:val="24"/>
              </w:rPr>
            </w:pPr>
            <w:r w:rsidRPr="00561F5A">
              <w:rPr>
                <w:sz w:val="24"/>
              </w:rPr>
              <w:t xml:space="preserve">Good Choices </w:t>
            </w:r>
          </w:p>
        </w:tc>
        <w:tc>
          <w:tcPr>
            <w:tcW w:w="8105" w:type="dxa"/>
            <w:tcBorders>
              <w:top w:val="single" w:sz="17" w:space="0" w:color="000000"/>
              <w:left w:val="single" w:sz="17" w:space="0" w:color="000000"/>
              <w:bottom w:val="single" w:sz="17" w:space="0" w:color="000000"/>
              <w:right w:val="single" w:sz="17" w:space="0" w:color="000000"/>
            </w:tcBorders>
            <w:vAlign w:val="center"/>
          </w:tcPr>
          <w:p w14:paraId="4C3272DB" w14:textId="77777777" w:rsidR="007A392B" w:rsidRPr="00561F5A" w:rsidRDefault="00000000">
            <w:pPr>
              <w:spacing w:after="0"/>
              <w:rPr>
                <w:szCs w:val="22"/>
              </w:rPr>
            </w:pPr>
            <w:r w:rsidRPr="00561F5A">
              <w:rPr>
                <w:szCs w:val="22"/>
              </w:rPr>
              <w:t xml:space="preserve">Students who make good choices will receive recognition as they move up the chart.   </w:t>
            </w:r>
          </w:p>
        </w:tc>
      </w:tr>
      <w:tr w:rsidR="007A392B" w14:paraId="2B27F21F" w14:textId="77777777">
        <w:trPr>
          <w:trHeight w:val="1217"/>
        </w:trPr>
        <w:tc>
          <w:tcPr>
            <w:tcW w:w="2528" w:type="dxa"/>
            <w:tcBorders>
              <w:top w:val="single" w:sz="17" w:space="0" w:color="000000"/>
              <w:left w:val="single" w:sz="17" w:space="0" w:color="000000"/>
              <w:bottom w:val="single" w:sz="17" w:space="0" w:color="000000"/>
              <w:right w:val="single" w:sz="17" w:space="0" w:color="000000"/>
            </w:tcBorders>
            <w:shd w:val="clear" w:color="auto" w:fill="12BE2E"/>
            <w:vAlign w:val="center"/>
          </w:tcPr>
          <w:p w14:paraId="63AF46A5" w14:textId="77777777" w:rsidR="007A392B" w:rsidRPr="00561F5A" w:rsidRDefault="00000000">
            <w:pPr>
              <w:spacing w:after="0"/>
              <w:ind w:right="16"/>
              <w:jc w:val="center"/>
              <w:rPr>
                <w:sz w:val="28"/>
                <w:szCs w:val="28"/>
              </w:rPr>
            </w:pPr>
            <w:r w:rsidRPr="00561F5A">
              <w:rPr>
                <w:sz w:val="28"/>
                <w:szCs w:val="28"/>
              </w:rPr>
              <w:t xml:space="preserve">Green </w:t>
            </w:r>
          </w:p>
          <w:p w14:paraId="56361423" w14:textId="77777777" w:rsidR="007A392B" w:rsidRPr="00561F5A" w:rsidRDefault="00000000">
            <w:pPr>
              <w:spacing w:after="0"/>
              <w:ind w:right="11"/>
              <w:jc w:val="center"/>
              <w:rPr>
                <w:sz w:val="24"/>
              </w:rPr>
            </w:pPr>
            <w:r w:rsidRPr="00561F5A">
              <w:rPr>
                <w:sz w:val="24"/>
              </w:rPr>
              <w:t xml:space="preserve">Ready to Learn! </w:t>
            </w:r>
          </w:p>
        </w:tc>
        <w:tc>
          <w:tcPr>
            <w:tcW w:w="8105" w:type="dxa"/>
            <w:tcBorders>
              <w:top w:val="single" w:sz="17" w:space="0" w:color="000000"/>
              <w:left w:val="single" w:sz="17" w:space="0" w:color="000000"/>
              <w:bottom w:val="single" w:sz="17" w:space="0" w:color="000000"/>
              <w:right w:val="single" w:sz="17" w:space="0" w:color="000000"/>
            </w:tcBorders>
          </w:tcPr>
          <w:p w14:paraId="73AF67A4" w14:textId="77777777" w:rsidR="007A392B" w:rsidRPr="00561F5A" w:rsidRDefault="00000000">
            <w:pPr>
              <w:spacing w:after="0"/>
              <w:ind w:right="155"/>
              <w:jc w:val="both"/>
              <w:rPr>
                <w:szCs w:val="22"/>
              </w:rPr>
            </w:pPr>
            <w:r w:rsidRPr="00561F5A">
              <w:rPr>
                <w:szCs w:val="22"/>
              </w:rPr>
              <w:t xml:space="preserve">Everyone starts the day “Ready to Learn”! Students can “clip up” or “clip down” throughout the day depending on their behavior choices.   </w:t>
            </w:r>
          </w:p>
        </w:tc>
      </w:tr>
      <w:tr w:rsidR="007A392B" w14:paraId="16E83B1A" w14:textId="77777777">
        <w:trPr>
          <w:trHeight w:val="1214"/>
        </w:trPr>
        <w:tc>
          <w:tcPr>
            <w:tcW w:w="2528" w:type="dxa"/>
            <w:tcBorders>
              <w:top w:val="single" w:sz="17" w:space="0" w:color="000000"/>
              <w:left w:val="single" w:sz="17" w:space="0" w:color="000000"/>
              <w:bottom w:val="single" w:sz="17" w:space="0" w:color="000000"/>
              <w:right w:val="single" w:sz="17" w:space="0" w:color="000000"/>
            </w:tcBorders>
            <w:shd w:val="clear" w:color="auto" w:fill="FFFF00"/>
            <w:vAlign w:val="center"/>
          </w:tcPr>
          <w:p w14:paraId="36804656" w14:textId="77777777" w:rsidR="007A392B" w:rsidRPr="00561F5A" w:rsidRDefault="00000000">
            <w:pPr>
              <w:spacing w:after="0"/>
              <w:ind w:right="16"/>
              <w:jc w:val="center"/>
              <w:rPr>
                <w:sz w:val="28"/>
                <w:szCs w:val="28"/>
              </w:rPr>
            </w:pPr>
            <w:r w:rsidRPr="00561F5A">
              <w:rPr>
                <w:sz w:val="28"/>
                <w:szCs w:val="28"/>
              </w:rPr>
              <w:t xml:space="preserve">Yellow </w:t>
            </w:r>
          </w:p>
          <w:p w14:paraId="7217181F" w14:textId="77777777" w:rsidR="007A392B" w:rsidRPr="00561F5A" w:rsidRDefault="00000000">
            <w:pPr>
              <w:spacing w:after="0"/>
              <w:ind w:right="12"/>
              <w:jc w:val="center"/>
              <w:rPr>
                <w:sz w:val="24"/>
              </w:rPr>
            </w:pPr>
            <w:r w:rsidRPr="00561F5A">
              <w:rPr>
                <w:sz w:val="24"/>
              </w:rPr>
              <w:t xml:space="preserve">Think About It </w:t>
            </w:r>
          </w:p>
        </w:tc>
        <w:tc>
          <w:tcPr>
            <w:tcW w:w="8105" w:type="dxa"/>
            <w:tcBorders>
              <w:top w:val="single" w:sz="17" w:space="0" w:color="000000"/>
              <w:left w:val="single" w:sz="17" w:space="0" w:color="000000"/>
              <w:bottom w:val="single" w:sz="17" w:space="0" w:color="000000"/>
              <w:right w:val="single" w:sz="17" w:space="0" w:color="000000"/>
            </w:tcBorders>
          </w:tcPr>
          <w:p w14:paraId="7B055704" w14:textId="77777777" w:rsidR="007A392B" w:rsidRPr="00561F5A" w:rsidRDefault="00000000">
            <w:pPr>
              <w:spacing w:after="0"/>
              <w:rPr>
                <w:szCs w:val="22"/>
              </w:rPr>
            </w:pPr>
            <w:r w:rsidRPr="00561F5A">
              <w:rPr>
                <w:szCs w:val="22"/>
              </w:rPr>
              <w:t xml:space="preserve">Students who receive a warning will move to yellow.  This serves as a reminder to students to think about the choices they make.   </w:t>
            </w:r>
          </w:p>
        </w:tc>
      </w:tr>
      <w:tr w:rsidR="007A392B" w14:paraId="276B8DCB" w14:textId="77777777" w:rsidTr="00561F5A">
        <w:trPr>
          <w:trHeight w:val="1219"/>
        </w:trPr>
        <w:tc>
          <w:tcPr>
            <w:tcW w:w="2528" w:type="dxa"/>
            <w:tcBorders>
              <w:top w:val="single" w:sz="17" w:space="0" w:color="000000"/>
              <w:left w:val="single" w:sz="17" w:space="0" w:color="000000"/>
              <w:bottom w:val="single" w:sz="17" w:space="0" w:color="000000"/>
              <w:right w:val="single" w:sz="17" w:space="0" w:color="000000"/>
            </w:tcBorders>
            <w:shd w:val="clear" w:color="auto" w:fill="FFC000"/>
            <w:vAlign w:val="center"/>
          </w:tcPr>
          <w:p w14:paraId="663017A7" w14:textId="77777777" w:rsidR="007A392B" w:rsidRPr="00561F5A" w:rsidRDefault="00000000">
            <w:pPr>
              <w:spacing w:after="0"/>
              <w:ind w:right="16"/>
              <w:jc w:val="center"/>
              <w:rPr>
                <w:sz w:val="28"/>
                <w:szCs w:val="28"/>
              </w:rPr>
            </w:pPr>
            <w:r w:rsidRPr="00561F5A">
              <w:rPr>
                <w:sz w:val="28"/>
                <w:szCs w:val="28"/>
              </w:rPr>
              <w:t xml:space="preserve">Orange </w:t>
            </w:r>
          </w:p>
          <w:p w14:paraId="5E085F3F" w14:textId="3A73879B" w:rsidR="007A392B" w:rsidRPr="00561F5A" w:rsidRDefault="00000000" w:rsidP="00561F5A">
            <w:pPr>
              <w:spacing w:after="0"/>
              <w:ind w:left="61"/>
              <w:jc w:val="center"/>
              <w:rPr>
                <w:sz w:val="24"/>
              </w:rPr>
            </w:pPr>
            <w:r w:rsidRPr="00561F5A">
              <w:rPr>
                <w:sz w:val="24"/>
              </w:rPr>
              <w:t>Teacher’s Choice</w:t>
            </w:r>
          </w:p>
        </w:tc>
        <w:tc>
          <w:tcPr>
            <w:tcW w:w="8105" w:type="dxa"/>
            <w:tcBorders>
              <w:top w:val="single" w:sz="17" w:space="0" w:color="000000"/>
              <w:left w:val="single" w:sz="17" w:space="0" w:color="000000"/>
              <w:bottom w:val="single" w:sz="17" w:space="0" w:color="000000"/>
              <w:right w:val="single" w:sz="17" w:space="0" w:color="000000"/>
            </w:tcBorders>
          </w:tcPr>
          <w:p w14:paraId="023ADE37" w14:textId="77777777" w:rsidR="007A392B" w:rsidRPr="00561F5A" w:rsidRDefault="00000000">
            <w:pPr>
              <w:spacing w:after="0"/>
              <w:rPr>
                <w:szCs w:val="22"/>
              </w:rPr>
            </w:pPr>
            <w:r w:rsidRPr="00561F5A">
              <w:rPr>
                <w:szCs w:val="22"/>
              </w:rPr>
              <w:t xml:space="preserve">Students, who continue to make poor choices, will move to orange.  This will result in a consequence that is appropriate for the choice that was made.  Different choices require different consequences. Children are different so consequences will vary depending on the child and the choices made. (Time out, loss of privilege, </w:t>
            </w:r>
            <w:proofErr w:type="spellStart"/>
            <w:r w:rsidRPr="00561F5A">
              <w:rPr>
                <w:szCs w:val="22"/>
              </w:rPr>
              <w:t>etc</w:t>
            </w:r>
            <w:proofErr w:type="spellEnd"/>
            <w:r w:rsidRPr="00561F5A">
              <w:rPr>
                <w:szCs w:val="22"/>
              </w:rPr>
              <w:t xml:space="preserve">…). </w:t>
            </w:r>
          </w:p>
        </w:tc>
      </w:tr>
      <w:tr w:rsidR="007A392B" w14:paraId="219F7E34" w14:textId="77777777" w:rsidTr="00561F5A">
        <w:trPr>
          <w:trHeight w:val="994"/>
        </w:trPr>
        <w:tc>
          <w:tcPr>
            <w:tcW w:w="2528" w:type="dxa"/>
            <w:tcBorders>
              <w:top w:val="single" w:sz="17" w:space="0" w:color="000000"/>
              <w:left w:val="single" w:sz="17" w:space="0" w:color="000000"/>
              <w:bottom w:val="single" w:sz="17" w:space="0" w:color="000000"/>
              <w:right w:val="single" w:sz="17" w:space="0" w:color="000000"/>
            </w:tcBorders>
            <w:shd w:val="clear" w:color="auto" w:fill="FD0000"/>
            <w:vAlign w:val="center"/>
          </w:tcPr>
          <w:p w14:paraId="642B65DC" w14:textId="77777777" w:rsidR="007A392B" w:rsidRPr="00561F5A" w:rsidRDefault="00000000">
            <w:pPr>
              <w:spacing w:after="0"/>
              <w:ind w:right="13"/>
              <w:jc w:val="center"/>
              <w:rPr>
                <w:sz w:val="28"/>
                <w:szCs w:val="28"/>
              </w:rPr>
            </w:pPr>
            <w:r w:rsidRPr="00561F5A">
              <w:rPr>
                <w:sz w:val="28"/>
                <w:szCs w:val="28"/>
              </w:rPr>
              <w:t xml:space="preserve">Red </w:t>
            </w:r>
          </w:p>
          <w:p w14:paraId="6FEF93D8" w14:textId="77777777" w:rsidR="007A392B" w:rsidRPr="00561F5A" w:rsidRDefault="00000000">
            <w:pPr>
              <w:spacing w:after="0"/>
              <w:ind w:right="9"/>
              <w:jc w:val="center"/>
              <w:rPr>
                <w:sz w:val="24"/>
              </w:rPr>
            </w:pPr>
            <w:r w:rsidRPr="00561F5A">
              <w:rPr>
                <w:sz w:val="24"/>
              </w:rPr>
              <w:t xml:space="preserve">Parent Contact </w:t>
            </w:r>
          </w:p>
        </w:tc>
        <w:tc>
          <w:tcPr>
            <w:tcW w:w="8105" w:type="dxa"/>
            <w:tcBorders>
              <w:top w:val="single" w:sz="17" w:space="0" w:color="000000"/>
              <w:left w:val="single" w:sz="17" w:space="0" w:color="000000"/>
              <w:bottom w:val="single" w:sz="17" w:space="0" w:color="000000"/>
              <w:right w:val="single" w:sz="17" w:space="0" w:color="000000"/>
            </w:tcBorders>
          </w:tcPr>
          <w:p w14:paraId="5507A706" w14:textId="77777777" w:rsidR="007A392B" w:rsidRPr="00561F5A" w:rsidRDefault="00000000">
            <w:pPr>
              <w:spacing w:after="0"/>
              <w:rPr>
                <w:szCs w:val="22"/>
              </w:rPr>
            </w:pPr>
            <w:r w:rsidRPr="00561F5A">
              <w:rPr>
                <w:szCs w:val="22"/>
              </w:rPr>
              <w:t xml:space="preserve">Students who move to red will have a note on their behavior calendar explaining their choices. Please contact me if you would like to discuss their choices in more detail.   </w:t>
            </w:r>
          </w:p>
        </w:tc>
      </w:tr>
    </w:tbl>
    <w:p w14:paraId="7EB94F61" w14:textId="77777777" w:rsidR="007A392B" w:rsidRPr="00561F5A" w:rsidRDefault="00000000">
      <w:pPr>
        <w:spacing w:after="15"/>
        <w:rPr>
          <w:sz w:val="20"/>
          <w:szCs w:val="20"/>
        </w:rPr>
      </w:pPr>
      <w:r>
        <w:rPr>
          <w:sz w:val="24"/>
        </w:rPr>
        <w:t xml:space="preserve"> </w:t>
      </w:r>
    </w:p>
    <w:p w14:paraId="67790692" w14:textId="6055B8B9" w:rsidR="007A392B" w:rsidRPr="00561F5A" w:rsidRDefault="00000000" w:rsidP="00561F5A">
      <w:pPr>
        <w:spacing w:after="2" w:line="267" w:lineRule="auto"/>
        <w:ind w:left="177" w:firstLine="485"/>
        <w:rPr>
          <w:szCs w:val="22"/>
        </w:rPr>
      </w:pPr>
      <w:r w:rsidRPr="00561F5A">
        <w:rPr>
          <w:szCs w:val="22"/>
        </w:rPr>
        <w:t xml:space="preserve">Each day, your child’s choices will be marked on his or her Behavior Calendar </w:t>
      </w:r>
      <w:r w:rsidR="00561F5A" w:rsidRPr="00561F5A">
        <w:rPr>
          <w:szCs w:val="22"/>
        </w:rPr>
        <w:t>which</w:t>
      </w:r>
      <w:r w:rsidRPr="00561F5A">
        <w:rPr>
          <w:szCs w:val="22"/>
        </w:rPr>
        <w:t xml:space="preserve"> is found inside their folder. Your child will color the oval according to the color that your child has ended the day on </w:t>
      </w:r>
      <w:proofErr w:type="spellStart"/>
      <w:r w:rsidR="00561F5A" w:rsidRPr="00561F5A">
        <w:rPr>
          <w:szCs w:val="22"/>
        </w:rPr>
        <w:t>o</w:t>
      </w:r>
      <w:r w:rsidRPr="00561F5A">
        <w:rPr>
          <w:szCs w:val="22"/>
        </w:rPr>
        <w:t>n</w:t>
      </w:r>
      <w:proofErr w:type="spellEnd"/>
      <w:r w:rsidRPr="00561F5A">
        <w:rPr>
          <w:szCs w:val="22"/>
        </w:rPr>
        <w:t xml:space="preserve"> the correct date on the calendar. </w:t>
      </w:r>
      <w:r w:rsidRPr="00561F5A">
        <w:rPr>
          <w:szCs w:val="22"/>
          <w:u w:val="single" w:color="000000"/>
        </w:rPr>
        <w:t>I ask that you check your child’s Behavior Calendar</w:t>
      </w:r>
      <w:r w:rsidRPr="00561F5A">
        <w:rPr>
          <w:szCs w:val="22"/>
        </w:rPr>
        <w:t xml:space="preserve"> </w:t>
      </w:r>
      <w:r w:rsidRPr="00561F5A">
        <w:rPr>
          <w:szCs w:val="22"/>
          <w:u w:val="single" w:color="000000"/>
        </w:rPr>
        <w:t xml:space="preserve">each day and </w:t>
      </w:r>
      <w:r w:rsidRPr="00561F5A">
        <w:rPr>
          <w:i/>
          <w:szCs w:val="22"/>
          <w:u w:val="single" w:color="000000"/>
        </w:rPr>
        <w:t xml:space="preserve">initial </w:t>
      </w:r>
      <w:proofErr w:type="gramStart"/>
      <w:r w:rsidRPr="00561F5A">
        <w:rPr>
          <w:i/>
          <w:szCs w:val="22"/>
          <w:u w:val="single" w:color="000000"/>
        </w:rPr>
        <w:t>it</w:t>
      </w:r>
      <w:proofErr w:type="gramEnd"/>
      <w:r w:rsidRPr="00561F5A">
        <w:rPr>
          <w:szCs w:val="22"/>
          <w:u w:val="single" w:color="000000"/>
        </w:rPr>
        <w:t xml:space="preserve"> so I know that you have looked at your child’s folder.</w:t>
      </w:r>
      <w:r w:rsidRPr="00561F5A">
        <w:rPr>
          <w:szCs w:val="22"/>
        </w:rPr>
        <w:t xml:space="preserve"> </w:t>
      </w:r>
    </w:p>
    <w:sectPr w:rsidR="007A392B" w:rsidRPr="00561F5A">
      <w:pgSz w:w="12240" w:h="15840"/>
      <w:pgMar w:top="1440" w:right="707" w:bottom="1440" w:left="7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LaM Display">
    <w:panose1 w:val="02010000000000000000"/>
    <w:charset w:val="4D"/>
    <w:family w:val="auto"/>
    <w:pitch w:val="variable"/>
    <w:sig w:usb0="8000206F" w:usb1="4200004A"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2B"/>
    <w:rsid w:val="00330358"/>
    <w:rsid w:val="00561F5A"/>
    <w:rsid w:val="007A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259B9"/>
  <w15:docId w15:val="{A2618382-77D0-0B4A-9A4F-16B453C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Clip Chart Explanation (1).docx</dc:title>
  <dc:subject/>
  <dc:creator>Yolanda Patterson</dc:creator>
  <cp:keywords/>
  <cp:lastModifiedBy>Yolanda Patterson</cp:lastModifiedBy>
  <cp:revision>2</cp:revision>
  <dcterms:created xsi:type="dcterms:W3CDTF">2024-09-02T19:56:00Z</dcterms:created>
  <dcterms:modified xsi:type="dcterms:W3CDTF">2024-09-02T19:56:00Z</dcterms:modified>
</cp:coreProperties>
</file>